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AC1269" w:rsidRPr="007919C3" w:rsidRDefault="00AC1269" w:rsidP="007919C3">
      <w:pPr>
        <w:spacing w:line="480" w:lineRule="auto"/>
        <w:jc w:val="center"/>
        <w:rPr>
          <w:rFonts w:ascii="Times New Roman" w:hAnsi="Times New Roman" w:cs="Times New Roman"/>
          <w:sz w:val="24"/>
          <w:szCs w:val="24"/>
        </w:rPr>
      </w:pPr>
      <w:r w:rsidRPr="007919C3">
        <w:rPr>
          <w:rFonts w:ascii="Times New Roman" w:hAnsi="Times New Roman" w:cs="Times New Roman"/>
          <w:sz w:val="24"/>
          <w:szCs w:val="24"/>
        </w:rPr>
        <w:t>Federal Funding.</w:t>
      </w:r>
    </w:p>
    <w:p w:rsidR="00AC1269" w:rsidRPr="007919C3" w:rsidRDefault="00AC1269" w:rsidP="007919C3">
      <w:pPr>
        <w:spacing w:line="480" w:lineRule="auto"/>
        <w:jc w:val="center"/>
        <w:rPr>
          <w:rFonts w:ascii="Times New Roman" w:hAnsi="Times New Roman" w:cs="Times New Roman"/>
          <w:sz w:val="24"/>
          <w:szCs w:val="24"/>
        </w:rPr>
      </w:pPr>
      <w:r w:rsidRPr="007919C3">
        <w:rPr>
          <w:rFonts w:ascii="Times New Roman" w:hAnsi="Times New Roman" w:cs="Times New Roman"/>
          <w:sz w:val="24"/>
          <w:szCs w:val="24"/>
        </w:rPr>
        <w:t>Name.</w:t>
      </w:r>
    </w:p>
    <w:p w:rsidR="00AC1269" w:rsidRPr="007919C3" w:rsidRDefault="00AC1269" w:rsidP="007919C3">
      <w:pPr>
        <w:spacing w:line="480" w:lineRule="auto"/>
        <w:jc w:val="center"/>
        <w:rPr>
          <w:rFonts w:ascii="Times New Roman" w:hAnsi="Times New Roman" w:cs="Times New Roman"/>
          <w:sz w:val="24"/>
          <w:szCs w:val="24"/>
        </w:rPr>
      </w:pPr>
      <w:r w:rsidRPr="007919C3">
        <w:rPr>
          <w:rFonts w:ascii="Times New Roman" w:hAnsi="Times New Roman" w:cs="Times New Roman"/>
          <w:sz w:val="24"/>
          <w:szCs w:val="24"/>
        </w:rPr>
        <w:t>Institution.</w:t>
      </w:r>
    </w:p>
    <w:p w:rsidR="00AC1269" w:rsidRPr="007919C3" w:rsidRDefault="00AC1269" w:rsidP="007919C3">
      <w:pPr>
        <w:spacing w:line="480" w:lineRule="auto"/>
        <w:jc w:val="center"/>
        <w:rPr>
          <w:rFonts w:ascii="Times New Roman" w:hAnsi="Times New Roman" w:cs="Times New Roman"/>
          <w:sz w:val="24"/>
          <w:szCs w:val="24"/>
        </w:rPr>
      </w:pPr>
      <w:r w:rsidRPr="007919C3">
        <w:rPr>
          <w:rFonts w:ascii="Times New Roman" w:hAnsi="Times New Roman" w:cs="Times New Roman"/>
          <w:sz w:val="24"/>
          <w:szCs w:val="24"/>
        </w:rPr>
        <w:t>Date.</w:t>
      </w: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3172F3" w:rsidP="007919C3">
      <w:pPr>
        <w:spacing w:line="480" w:lineRule="auto"/>
        <w:jc w:val="center"/>
        <w:rPr>
          <w:rFonts w:ascii="Times New Roman" w:hAnsi="Times New Roman" w:cs="Times New Roman"/>
          <w:sz w:val="24"/>
          <w:szCs w:val="24"/>
        </w:rPr>
      </w:pPr>
      <w:r w:rsidRPr="007919C3">
        <w:rPr>
          <w:rFonts w:ascii="Times New Roman" w:hAnsi="Times New Roman" w:cs="Times New Roman"/>
          <w:sz w:val="24"/>
          <w:szCs w:val="24"/>
        </w:rPr>
        <w:lastRenderedPageBreak/>
        <w:t>Federal Funding.</w:t>
      </w:r>
    </w:p>
    <w:p w:rsidR="00ED0619" w:rsidRPr="007919C3" w:rsidRDefault="00ED0619" w:rsidP="007919C3">
      <w:pPr>
        <w:spacing w:line="480" w:lineRule="auto"/>
        <w:jc w:val="center"/>
        <w:rPr>
          <w:rFonts w:ascii="Times New Roman" w:hAnsi="Times New Roman" w:cs="Times New Roman"/>
          <w:b/>
          <w:sz w:val="24"/>
          <w:szCs w:val="24"/>
        </w:rPr>
      </w:pPr>
      <w:r w:rsidRPr="007919C3">
        <w:rPr>
          <w:rFonts w:ascii="Times New Roman" w:hAnsi="Times New Roman" w:cs="Times New Roman"/>
          <w:b/>
          <w:sz w:val="24"/>
          <w:szCs w:val="24"/>
        </w:rPr>
        <w:t>Question 1.</w:t>
      </w:r>
    </w:p>
    <w:p w:rsidR="007919C3" w:rsidRPr="007919C3" w:rsidRDefault="007919C3" w:rsidP="007919C3">
      <w:pPr>
        <w:spacing w:line="480" w:lineRule="auto"/>
        <w:ind w:firstLine="720"/>
        <w:rPr>
          <w:rFonts w:ascii="Times New Roman" w:hAnsi="Times New Roman" w:cs="Times New Roman"/>
          <w:sz w:val="24"/>
          <w:szCs w:val="24"/>
        </w:rPr>
      </w:pPr>
      <w:r w:rsidRPr="007919C3">
        <w:rPr>
          <w:rFonts w:ascii="Times New Roman" w:hAnsi="Times New Roman" w:cs="Times New Roman"/>
          <w:sz w:val="24"/>
          <w:szCs w:val="24"/>
        </w:rPr>
        <w:t>There is a very core need to provide a safe and secure society for all people, and this objective has prompted the government, individuals, human rights agencies, disaster management bodies as well as nongovernmental organizations to focus on ways of solving disasters and ensuring security local, regional and global security. Funding is a very core aspect in ensuring security is met in different dimensions, and this applies in all-hazards- first responder preparedness and also in covering for terrorists' hazards (Hall, 2015). Federal funding is usually sought in dealing with all hazards first responder preparedness and also on research and development in coming up with solutions for scraping terrorists' hazards, but since this funding is not always enough, prioritization should be sought. As such, it is my conviction that federal funding is better spent on all hazards first responder preparedness and not on research and development efforts for managing terrorist's hazards and this is because the former is a broader aspect which covers for many areas in the country than the latter.</w:t>
      </w:r>
    </w:p>
    <w:p w:rsidR="007919C3" w:rsidRPr="007919C3" w:rsidRDefault="007919C3" w:rsidP="007919C3">
      <w:pPr>
        <w:spacing w:line="480" w:lineRule="auto"/>
        <w:ind w:firstLine="720"/>
        <w:rPr>
          <w:rFonts w:ascii="Times New Roman" w:hAnsi="Times New Roman" w:cs="Times New Roman"/>
          <w:sz w:val="24"/>
          <w:szCs w:val="24"/>
        </w:rPr>
      </w:pPr>
      <w:r w:rsidRPr="007919C3">
        <w:rPr>
          <w:rFonts w:ascii="Times New Roman" w:hAnsi="Times New Roman" w:cs="Times New Roman"/>
          <w:sz w:val="24"/>
          <w:szCs w:val="24"/>
        </w:rPr>
        <w:t xml:space="preserve">It is apparent that first responder preparedness caters for very critical needs of the community as well as requirements. This preparedness is also very core in providing technical support for different aspects, and coming up with new and dynamic innovations which are used in covering for the small scale and large scale emergency hazards and threats. Also, first responder preparedness covers all levels such as local, state, Federal and National levels and as such, critical prioritization should be laid on this preparedness in Federal funding. Besides the fact that research and development are necessary for coming up with ways of managing </w:t>
      </w:r>
      <w:r w:rsidRPr="007919C3">
        <w:rPr>
          <w:rFonts w:ascii="Times New Roman" w:hAnsi="Times New Roman" w:cs="Times New Roman"/>
          <w:sz w:val="24"/>
          <w:szCs w:val="24"/>
        </w:rPr>
        <w:lastRenderedPageBreak/>
        <w:t>terrorism, this area is not as broad as that of all hazards first responder preparedness (Fagel, 2016).</w:t>
      </w:r>
    </w:p>
    <w:p w:rsidR="007919C3" w:rsidRPr="007919C3" w:rsidRDefault="007919C3" w:rsidP="007919C3">
      <w:pPr>
        <w:spacing w:line="480" w:lineRule="auto"/>
        <w:ind w:firstLine="720"/>
        <w:rPr>
          <w:rFonts w:ascii="Times New Roman" w:hAnsi="Times New Roman" w:cs="Times New Roman"/>
          <w:sz w:val="24"/>
          <w:szCs w:val="24"/>
        </w:rPr>
      </w:pPr>
      <w:r w:rsidRPr="007919C3">
        <w:rPr>
          <w:rFonts w:ascii="Times New Roman" w:hAnsi="Times New Roman" w:cs="Times New Roman"/>
          <w:sz w:val="24"/>
          <w:szCs w:val="24"/>
        </w:rPr>
        <w:t>The first responders involve police, the fire department, the emergency personnel, and public health officials and all these can also be used in countering terrorist attacks. In more concrete terms, security groups and those who deal with terrorist aspects can be covered under the first responders and as such, the Federal funding should first cover for all hazards first responder preparedness. It is also evident that terrorists' attacks have common traits as natural as well as accidental disasters and as such, focusing on first responders would also cover for security and terrorist management. It should also be noted that if more Federal funds are directed towards all hazards first responders, it will be possible to prevent, protect and respond to natural and accidental disasters as well as solve cases of terrorist attacks (Sauter &amp; Carafano, 2015). By funding all hazards first responder preparedness, it will also be possible for the stakeholders to act prudently and solve cases of terrorist's attacks.</w:t>
      </w:r>
    </w:p>
    <w:p w:rsidR="007919C3" w:rsidRPr="007919C3" w:rsidRDefault="007919C3" w:rsidP="007919C3">
      <w:pPr>
        <w:spacing w:line="480" w:lineRule="auto"/>
        <w:jc w:val="center"/>
        <w:rPr>
          <w:rFonts w:ascii="Times New Roman" w:hAnsi="Times New Roman" w:cs="Times New Roman"/>
          <w:b/>
          <w:sz w:val="24"/>
          <w:szCs w:val="24"/>
        </w:rPr>
      </w:pPr>
      <w:r w:rsidRPr="007919C3">
        <w:rPr>
          <w:rFonts w:ascii="Times New Roman" w:hAnsi="Times New Roman" w:cs="Times New Roman"/>
          <w:b/>
          <w:sz w:val="24"/>
          <w:szCs w:val="24"/>
        </w:rPr>
        <w:t>Question 2.</w:t>
      </w:r>
    </w:p>
    <w:p w:rsidR="007919C3" w:rsidRPr="007919C3" w:rsidRDefault="007919C3" w:rsidP="007919C3">
      <w:pPr>
        <w:spacing w:line="480" w:lineRule="auto"/>
        <w:ind w:firstLine="720"/>
        <w:rPr>
          <w:rFonts w:ascii="Times New Roman" w:hAnsi="Times New Roman" w:cs="Times New Roman"/>
          <w:sz w:val="24"/>
          <w:szCs w:val="24"/>
        </w:rPr>
      </w:pPr>
      <w:r w:rsidRPr="007919C3">
        <w:rPr>
          <w:rFonts w:ascii="Times New Roman" w:hAnsi="Times New Roman" w:cs="Times New Roman"/>
          <w:sz w:val="24"/>
          <w:szCs w:val="24"/>
        </w:rPr>
        <w:t xml:space="preserve">In the 2015 Fiscal Year, the Federal budget for all all-hazards first-responder preparedness was around $7.3 billion while the funding for research and development in improving security emergency response in terrorism was around $11 billion (Fagel, 2016). This was a very wide disparity, and from a personal point of view, it is my conviction that the Americans citizens would be served best by transferring funds from R&amp;D to first responder preparedness. Emergency aspects related to terror attacks are still high in the USA, but the numbers should be compared with other cases of natural and planned disasters and emergencies. As noted, Research and development is a very core aspect in dealing with terrorist emergencies, </w:t>
      </w:r>
      <w:r w:rsidRPr="007919C3">
        <w:rPr>
          <w:rFonts w:ascii="Times New Roman" w:hAnsi="Times New Roman" w:cs="Times New Roman"/>
          <w:sz w:val="24"/>
          <w:szCs w:val="24"/>
        </w:rPr>
        <w:lastRenderedPageBreak/>
        <w:t>but prioritization should be laid on first responder preparedness which covers a broader area (Sauter &amp; Carafano, 2015).</w:t>
      </w:r>
    </w:p>
    <w:p w:rsidR="007919C3" w:rsidRPr="007919C3" w:rsidRDefault="007919C3" w:rsidP="007919C3">
      <w:pPr>
        <w:spacing w:line="480" w:lineRule="auto"/>
        <w:ind w:firstLine="720"/>
        <w:rPr>
          <w:rFonts w:ascii="Times New Roman" w:hAnsi="Times New Roman" w:cs="Times New Roman"/>
          <w:sz w:val="24"/>
          <w:szCs w:val="24"/>
        </w:rPr>
      </w:pPr>
      <w:r w:rsidRPr="007919C3">
        <w:rPr>
          <w:rFonts w:ascii="Times New Roman" w:hAnsi="Times New Roman" w:cs="Times New Roman"/>
          <w:sz w:val="24"/>
          <w:szCs w:val="24"/>
        </w:rPr>
        <w:t>Arguably, the mechanisms used in first responder preparedness can also be maximized and tuned to cover for terrorist's emergencies, and this is because all these disasters are related. First responders also cover for emergencies which occur as a result of terror attacks and as such, money set aside for covering terrorist emergencies should be reduced, and the finances for covering for first responder preparedness increased. In other words, the first responder circle is larger than that of terror attacks, and hence, prioritization should be sought (Sauter &amp; Carafano, 2015). Research and development are in most cases directed towards improving security aspects, but it is my conviction that, agencies should first pilot the available mechanisms which are used in first responder preparedness in an attempt to prove that they are also applicable in terrorism management. Through this, the Federal government will save more money, and by focusing on first responder preparedness, it will also be possible to cover for terror emergencies and threats more effectively.</w:t>
      </w: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7919C3" w:rsidRDefault="007919C3" w:rsidP="007919C3">
      <w:pPr>
        <w:spacing w:line="480" w:lineRule="auto"/>
        <w:jc w:val="center"/>
        <w:rPr>
          <w:rFonts w:ascii="Times New Roman" w:hAnsi="Times New Roman" w:cs="Times New Roman"/>
          <w:sz w:val="24"/>
          <w:szCs w:val="24"/>
        </w:rPr>
      </w:pPr>
    </w:p>
    <w:p w:rsidR="00AC1269" w:rsidRPr="007919C3" w:rsidRDefault="00AC1269" w:rsidP="007919C3">
      <w:pPr>
        <w:spacing w:line="480" w:lineRule="auto"/>
        <w:jc w:val="center"/>
        <w:rPr>
          <w:rFonts w:ascii="Times New Roman" w:hAnsi="Times New Roman" w:cs="Times New Roman"/>
          <w:sz w:val="24"/>
          <w:szCs w:val="24"/>
        </w:rPr>
      </w:pPr>
      <w:r w:rsidRPr="007919C3">
        <w:rPr>
          <w:rFonts w:ascii="Times New Roman" w:hAnsi="Times New Roman" w:cs="Times New Roman"/>
          <w:sz w:val="24"/>
          <w:szCs w:val="24"/>
        </w:rPr>
        <w:lastRenderedPageBreak/>
        <w:t>References.</w:t>
      </w:r>
    </w:p>
    <w:p w:rsidR="00AC1269" w:rsidRPr="007919C3" w:rsidRDefault="00AC1269" w:rsidP="007919C3">
      <w:pPr>
        <w:spacing w:after="0" w:line="480" w:lineRule="auto"/>
        <w:ind w:left="720" w:hanging="720"/>
        <w:rPr>
          <w:rFonts w:ascii="Times New Roman" w:eastAsia="Times New Roman" w:hAnsi="Times New Roman" w:cs="Times New Roman"/>
          <w:sz w:val="24"/>
          <w:szCs w:val="24"/>
        </w:rPr>
      </w:pPr>
      <w:r w:rsidRPr="00AC1269">
        <w:rPr>
          <w:rFonts w:ascii="Times New Roman" w:eastAsia="Times New Roman" w:hAnsi="Times New Roman" w:cs="Times New Roman"/>
          <w:sz w:val="24"/>
          <w:szCs w:val="24"/>
        </w:rPr>
        <w:t xml:space="preserve">Fagel, M. J. (2016). </w:t>
      </w:r>
      <w:r w:rsidRPr="00AC1269">
        <w:rPr>
          <w:rFonts w:ascii="Times New Roman" w:eastAsia="Times New Roman" w:hAnsi="Times New Roman" w:cs="Times New Roman"/>
          <w:i/>
          <w:iCs/>
          <w:sz w:val="24"/>
          <w:szCs w:val="24"/>
        </w:rPr>
        <w:t>Principles of emergency management and emergency operations centers (EOC)</w:t>
      </w:r>
      <w:r w:rsidRPr="00AC1269">
        <w:rPr>
          <w:rFonts w:ascii="Times New Roman" w:eastAsia="Times New Roman" w:hAnsi="Times New Roman" w:cs="Times New Roman"/>
          <w:sz w:val="24"/>
          <w:szCs w:val="24"/>
        </w:rPr>
        <w:t>. CRC press.</w:t>
      </w:r>
    </w:p>
    <w:p w:rsidR="00AC1269" w:rsidRPr="007919C3" w:rsidRDefault="00B246B1" w:rsidP="007919C3">
      <w:pPr>
        <w:spacing w:after="0" w:line="480" w:lineRule="auto"/>
        <w:ind w:left="720" w:hanging="720"/>
        <w:rPr>
          <w:rFonts w:ascii="Times New Roman" w:eastAsia="Times New Roman" w:hAnsi="Times New Roman" w:cs="Times New Roman"/>
          <w:sz w:val="24"/>
          <w:szCs w:val="24"/>
        </w:rPr>
      </w:pPr>
      <w:r w:rsidRPr="007919C3">
        <w:rPr>
          <w:rFonts w:ascii="Times New Roman" w:eastAsia="Times New Roman" w:hAnsi="Times New Roman" w:cs="Times New Roman"/>
          <w:sz w:val="24"/>
          <w:szCs w:val="24"/>
        </w:rPr>
        <w:t>Hall, B. H. (2015</w:t>
      </w:r>
      <w:r w:rsidR="00AC1269" w:rsidRPr="00AC1269">
        <w:rPr>
          <w:rFonts w:ascii="Times New Roman" w:eastAsia="Times New Roman" w:hAnsi="Times New Roman" w:cs="Times New Roman"/>
          <w:sz w:val="24"/>
          <w:szCs w:val="24"/>
        </w:rPr>
        <w:t xml:space="preserve">). The financing of research and development. </w:t>
      </w:r>
      <w:r w:rsidR="00AC1269" w:rsidRPr="00AC1269">
        <w:rPr>
          <w:rFonts w:ascii="Times New Roman" w:eastAsia="Times New Roman" w:hAnsi="Times New Roman" w:cs="Times New Roman"/>
          <w:i/>
          <w:iCs/>
          <w:sz w:val="24"/>
          <w:szCs w:val="24"/>
        </w:rPr>
        <w:t>Oxford review of economic policy</w:t>
      </w:r>
      <w:r w:rsidR="00AC1269" w:rsidRPr="00AC1269">
        <w:rPr>
          <w:rFonts w:ascii="Times New Roman" w:eastAsia="Times New Roman" w:hAnsi="Times New Roman" w:cs="Times New Roman"/>
          <w:sz w:val="24"/>
          <w:szCs w:val="24"/>
        </w:rPr>
        <w:t xml:space="preserve">, </w:t>
      </w:r>
      <w:r w:rsidR="00AC1269" w:rsidRPr="00AC1269">
        <w:rPr>
          <w:rFonts w:ascii="Times New Roman" w:eastAsia="Times New Roman" w:hAnsi="Times New Roman" w:cs="Times New Roman"/>
          <w:i/>
          <w:iCs/>
          <w:sz w:val="24"/>
          <w:szCs w:val="24"/>
        </w:rPr>
        <w:t>18</w:t>
      </w:r>
      <w:r w:rsidR="00AC1269" w:rsidRPr="00AC1269">
        <w:rPr>
          <w:rFonts w:ascii="Times New Roman" w:eastAsia="Times New Roman" w:hAnsi="Times New Roman" w:cs="Times New Roman"/>
          <w:sz w:val="24"/>
          <w:szCs w:val="24"/>
        </w:rPr>
        <w:t>(1), 35-51.</w:t>
      </w:r>
    </w:p>
    <w:p w:rsidR="00AC1269" w:rsidRPr="00AC1269" w:rsidRDefault="00AC1269" w:rsidP="007919C3">
      <w:pPr>
        <w:spacing w:after="0" w:line="480" w:lineRule="auto"/>
        <w:ind w:left="720" w:hanging="720"/>
        <w:rPr>
          <w:rFonts w:ascii="Times New Roman" w:eastAsia="Times New Roman" w:hAnsi="Times New Roman" w:cs="Times New Roman"/>
          <w:sz w:val="24"/>
          <w:szCs w:val="24"/>
        </w:rPr>
      </w:pPr>
      <w:r w:rsidRPr="00AC1269">
        <w:rPr>
          <w:rFonts w:ascii="Times New Roman" w:eastAsia="Times New Roman" w:hAnsi="Times New Roman" w:cs="Times New Roman"/>
          <w:sz w:val="24"/>
          <w:szCs w:val="24"/>
        </w:rPr>
        <w:t>Sa</w:t>
      </w:r>
      <w:r w:rsidR="00B246B1" w:rsidRPr="007919C3">
        <w:rPr>
          <w:rFonts w:ascii="Times New Roman" w:eastAsia="Times New Roman" w:hAnsi="Times New Roman" w:cs="Times New Roman"/>
          <w:sz w:val="24"/>
          <w:szCs w:val="24"/>
        </w:rPr>
        <w:t>uter, M., &amp; Carafano, J. J. (201</w:t>
      </w:r>
      <w:r w:rsidRPr="00AC1269">
        <w:rPr>
          <w:rFonts w:ascii="Times New Roman" w:eastAsia="Times New Roman" w:hAnsi="Times New Roman" w:cs="Times New Roman"/>
          <w:sz w:val="24"/>
          <w:szCs w:val="24"/>
        </w:rPr>
        <w:t xml:space="preserve">5). </w:t>
      </w:r>
      <w:r w:rsidRPr="00AC1269">
        <w:rPr>
          <w:rFonts w:ascii="Times New Roman" w:eastAsia="Times New Roman" w:hAnsi="Times New Roman" w:cs="Times New Roman"/>
          <w:i/>
          <w:iCs/>
          <w:sz w:val="24"/>
          <w:szCs w:val="24"/>
        </w:rPr>
        <w:t>Homeland security: A complete guide to understanding, preventing, and surviving terrorism</w:t>
      </w:r>
      <w:r w:rsidRPr="00AC1269">
        <w:rPr>
          <w:rFonts w:ascii="Times New Roman" w:eastAsia="Times New Roman" w:hAnsi="Times New Roman" w:cs="Times New Roman"/>
          <w:sz w:val="24"/>
          <w:szCs w:val="24"/>
        </w:rPr>
        <w:t xml:space="preserve"> (p. 3). New York: McGraw-Hill.</w:t>
      </w:r>
    </w:p>
    <w:p w:rsidR="00AC1269" w:rsidRPr="007919C3" w:rsidRDefault="00AC1269" w:rsidP="007919C3">
      <w:pPr>
        <w:spacing w:line="480" w:lineRule="auto"/>
        <w:rPr>
          <w:rFonts w:ascii="Times New Roman" w:hAnsi="Times New Roman" w:cs="Times New Roman"/>
          <w:sz w:val="24"/>
          <w:szCs w:val="24"/>
        </w:rPr>
      </w:pPr>
    </w:p>
    <w:sectPr w:rsidR="00AC1269" w:rsidRPr="007919C3" w:rsidSect="00AC12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E7D" w:rsidRDefault="00012E7D" w:rsidP="00AC1269">
      <w:pPr>
        <w:spacing w:after="0" w:line="240" w:lineRule="auto"/>
      </w:pPr>
      <w:r>
        <w:separator/>
      </w:r>
    </w:p>
  </w:endnote>
  <w:endnote w:type="continuationSeparator" w:id="1">
    <w:p w:rsidR="00012E7D" w:rsidRDefault="00012E7D" w:rsidP="00AC12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E7D" w:rsidRDefault="00012E7D" w:rsidP="00AC1269">
      <w:pPr>
        <w:spacing w:after="0" w:line="240" w:lineRule="auto"/>
      </w:pPr>
      <w:r>
        <w:separator/>
      </w:r>
    </w:p>
  </w:footnote>
  <w:footnote w:type="continuationSeparator" w:id="1">
    <w:p w:rsidR="00012E7D" w:rsidRDefault="00012E7D" w:rsidP="00AC12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B1" w:rsidRDefault="00B246B1">
    <w:pPr>
      <w:pStyle w:val="Header"/>
    </w:pPr>
    <w:r w:rsidRPr="00B246B1">
      <w:rPr>
        <w:rFonts w:ascii="Times New Roman" w:hAnsi="Times New Roman" w:cs="Times New Roman"/>
        <w:sz w:val="24"/>
        <w:szCs w:val="24"/>
      </w:rPr>
      <w:t>FEDERAL FUNDING.</w:t>
    </w:r>
    <w:r>
      <w:rPr>
        <w:rFonts w:ascii="Times New Roman" w:hAnsi="Times New Roman" w:cs="Times New Roman"/>
        <w:sz w:val="24"/>
        <w:szCs w:val="24"/>
      </w:rPr>
      <w:t xml:space="preserve">                                                                                                           </w:t>
    </w:r>
    <w:r w:rsidRPr="00B246B1">
      <w:rPr>
        <w:rFonts w:ascii="Times New Roman" w:hAnsi="Times New Roman" w:cs="Times New Roman"/>
        <w:sz w:val="24"/>
        <w:szCs w:val="24"/>
      </w:rPr>
      <w:fldChar w:fldCharType="begin"/>
    </w:r>
    <w:r w:rsidRPr="00B246B1">
      <w:rPr>
        <w:rFonts w:ascii="Times New Roman" w:hAnsi="Times New Roman" w:cs="Times New Roman"/>
        <w:sz w:val="24"/>
        <w:szCs w:val="24"/>
      </w:rPr>
      <w:instrText xml:space="preserve"> PAGE   \* MERGEFORMAT </w:instrText>
    </w:r>
    <w:r w:rsidRPr="00B246B1">
      <w:rPr>
        <w:rFonts w:ascii="Times New Roman" w:hAnsi="Times New Roman" w:cs="Times New Roman"/>
        <w:sz w:val="24"/>
        <w:szCs w:val="24"/>
      </w:rPr>
      <w:fldChar w:fldCharType="separate"/>
    </w:r>
    <w:r w:rsidR="007919C3">
      <w:rPr>
        <w:rFonts w:ascii="Times New Roman" w:hAnsi="Times New Roman" w:cs="Times New Roman"/>
        <w:noProof/>
        <w:sz w:val="24"/>
        <w:szCs w:val="24"/>
      </w:rPr>
      <w:t>5</w:t>
    </w:r>
    <w:r w:rsidRPr="00B246B1">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269" w:rsidRPr="00B246B1" w:rsidRDefault="00AC1269" w:rsidP="00B246B1">
    <w:pPr>
      <w:pStyle w:val="Header"/>
      <w:spacing w:line="480" w:lineRule="auto"/>
      <w:rPr>
        <w:rFonts w:ascii="Times New Roman" w:hAnsi="Times New Roman" w:cs="Times New Roman"/>
        <w:sz w:val="24"/>
        <w:szCs w:val="24"/>
      </w:rPr>
    </w:pPr>
    <w:r w:rsidRPr="00B246B1">
      <w:rPr>
        <w:rFonts w:ascii="Times New Roman" w:hAnsi="Times New Roman" w:cs="Times New Roman"/>
        <w:sz w:val="24"/>
        <w:szCs w:val="24"/>
      </w:rPr>
      <w:t xml:space="preserve">Running </w:t>
    </w:r>
    <w:r w:rsidR="00B246B1" w:rsidRPr="00B246B1">
      <w:rPr>
        <w:rFonts w:ascii="Times New Roman" w:hAnsi="Times New Roman" w:cs="Times New Roman"/>
        <w:sz w:val="24"/>
        <w:szCs w:val="24"/>
      </w:rPr>
      <w:t>Head: FEDERAL FUNDING.</w:t>
    </w:r>
    <w:r w:rsidR="00B246B1">
      <w:rPr>
        <w:rFonts w:ascii="Times New Roman" w:hAnsi="Times New Roman" w:cs="Times New Roman"/>
        <w:sz w:val="24"/>
        <w:szCs w:val="24"/>
      </w:rPr>
      <w:t xml:space="preserve">                                                                                         </w:t>
    </w:r>
    <w:r w:rsidR="00B246B1" w:rsidRPr="00B246B1">
      <w:rPr>
        <w:rFonts w:ascii="Times New Roman" w:hAnsi="Times New Roman" w:cs="Times New Roman"/>
        <w:sz w:val="24"/>
        <w:szCs w:val="24"/>
      </w:rPr>
      <w:fldChar w:fldCharType="begin"/>
    </w:r>
    <w:r w:rsidR="00B246B1" w:rsidRPr="00B246B1">
      <w:rPr>
        <w:rFonts w:ascii="Times New Roman" w:hAnsi="Times New Roman" w:cs="Times New Roman"/>
        <w:sz w:val="24"/>
        <w:szCs w:val="24"/>
      </w:rPr>
      <w:instrText xml:space="preserve"> PAGE   \* MERGEFORMAT </w:instrText>
    </w:r>
    <w:r w:rsidR="00B246B1" w:rsidRPr="00B246B1">
      <w:rPr>
        <w:rFonts w:ascii="Times New Roman" w:hAnsi="Times New Roman" w:cs="Times New Roman"/>
        <w:sz w:val="24"/>
        <w:szCs w:val="24"/>
      </w:rPr>
      <w:fldChar w:fldCharType="separate"/>
    </w:r>
    <w:r w:rsidR="007919C3">
      <w:rPr>
        <w:rFonts w:ascii="Times New Roman" w:hAnsi="Times New Roman" w:cs="Times New Roman"/>
        <w:noProof/>
        <w:sz w:val="24"/>
        <w:szCs w:val="24"/>
      </w:rPr>
      <w:t>1</w:t>
    </w:r>
    <w:r w:rsidR="00B246B1" w:rsidRPr="00B246B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E6C1F"/>
    <w:rsid w:val="00011577"/>
    <w:rsid w:val="00012E7D"/>
    <w:rsid w:val="00013A59"/>
    <w:rsid w:val="00196D5A"/>
    <w:rsid w:val="00305690"/>
    <w:rsid w:val="003172F3"/>
    <w:rsid w:val="00513ED0"/>
    <w:rsid w:val="00533DAC"/>
    <w:rsid w:val="005E366F"/>
    <w:rsid w:val="007919C3"/>
    <w:rsid w:val="007E4031"/>
    <w:rsid w:val="009308B0"/>
    <w:rsid w:val="00982C58"/>
    <w:rsid w:val="00AC1269"/>
    <w:rsid w:val="00B246B1"/>
    <w:rsid w:val="00C82A22"/>
    <w:rsid w:val="00D2128B"/>
    <w:rsid w:val="00ED0619"/>
    <w:rsid w:val="00EE6C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C12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C1269"/>
  </w:style>
  <w:style w:type="paragraph" w:styleId="Footer">
    <w:name w:val="footer"/>
    <w:basedOn w:val="Normal"/>
    <w:link w:val="FooterChar"/>
    <w:uiPriority w:val="99"/>
    <w:semiHidden/>
    <w:unhideWhenUsed/>
    <w:rsid w:val="00AC12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1269"/>
  </w:style>
</w:styles>
</file>

<file path=word/webSettings.xml><?xml version="1.0" encoding="utf-8"?>
<w:webSettings xmlns:r="http://schemas.openxmlformats.org/officeDocument/2006/relationships" xmlns:w="http://schemas.openxmlformats.org/wordprocessingml/2006/main">
  <w:divs>
    <w:div w:id="368797426">
      <w:bodyDiv w:val="1"/>
      <w:marLeft w:val="0"/>
      <w:marRight w:val="0"/>
      <w:marTop w:val="0"/>
      <w:marBottom w:val="0"/>
      <w:divBdr>
        <w:top w:val="none" w:sz="0" w:space="0" w:color="auto"/>
        <w:left w:val="none" w:sz="0" w:space="0" w:color="auto"/>
        <w:bottom w:val="none" w:sz="0" w:space="0" w:color="auto"/>
        <w:right w:val="none" w:sz="0" w:space="0" w:color="auto"/>
      </w:divBdr>
      <w:divsChild>
        <w:div w:id="693654724">
          <w:marLeft w:val="0"/>
          <w:marRight w:val="0"/>
          <w:marTop w:val="0"/>
          <w:marBottom w:val="0"/>
          <w:divBdr>
            <w:top w:val="none" w:sz="0" w:space="0" w:color="auto"/>
            <w:left w:val="none" w:sz="0" w:space="0" w:color="auto"/>
            <w:bottom w:val="none" w:sz="0" w:space="0" w:color="auto"/>
            <w:right w:val="none" w:sz="0" w:space="0" w:color="auto"/>
          </w:divBdr>
        </w:div>
      </w:divsChild>
    </w:div>
    <w:div w:id="683437346">
      <w:bodyDiv w:val="1"/>
      <w:marLeft w:val="0"/>
      <w:marRight w:val="0"/>
      <w:marTop w:val="0"/>
      <w:marBottom w:val="0"/>
      <w:divBdr>
        <w:top w:val="none" w:sz="0" w:space="0" w:color="auto"/>
        <w:left w:val="none" w:sz="0" w:space="0" w:color="auto"/>
        <w:bottom w:val="none" w:sz="0" w:space="0" w:color="auto"/>
        <w:right w:val="none" w:sz="0" w:space="0" w:color="auto"/>
      </w:divBdr>
      <w:divsChild>
        <w:div w:id="1401058113">
          <w:marLeft w:val="0"/>
          <w:marRight w:val="0"/>
          <w:marTop w:val="0"/>
          <w:marBottom w:val="0"/>
          <w:divBdr>
            <w:top w:val="none" w:sz="0" w:space="0" w:color="auto"/>
            <w:left w:val="none" w:sz="0" w:space="0" w:color="auto"/>
            <w:bottom w:val="none" w:sz="0" w:space="0" w:color="auto"/>
            <w:right w:val="none" w:sz="0" w:space="0" w:color="auto"/>
          </w:divBdr>
        </w:div>
      </w:divsChild>
    </w:div>
    <w:div w:id="1655648517">
      <w:bodyDiv w:val="1"/>
      <w:marLeft w:val="0"/>
      <w:marRight w:val="0"/>
      <w:marTop w:val="0"/>
      <w:marBottom w:val="0"/>
      <w:divBdr>
        <w:top w:val="none" w:sz="0" w:space="0" w:color="auto"/>
        <w:left w:val="none" w:sz="0" w:space="0" w:color="auto"/>
        <w:bottom w:val="none" w:sz="0" w:space="0" w:color="auto"/>
        <w:right w:val="none" w:sz="0" w:space="0" w:color="auto"/>
      </w:divBdr>
      <w:divsChild>
        <w:div w:id="2142259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2018-12-04T21:28:00Z</dcterms:created>
  <dcterms:modified xsi:type="dcterms:W3CDTF">2018-12-04T21:28:00Z</dcterms:modified>
</cp:coreProperties>
</file>